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rFonts w:ascii="Arial" w:cs="Arial" w:eastAsia="Arial" w:hAnsi="Arial"/>
          <w:b/>
          <w:bCs/>
          <w:color w:val="0B63CE"/>
          <w:spacing w:val="20"/>
          <w:sz w:val="14"/>
          <w:szCs w:val="14"/>
        </w:rPr>
        <w:t xml:space="preserve">SAFETY</w:t>
      </w:r>
    </w:p>
    <w:p>
      <w:pPr>
        <w:pStyle w:val="Heading1"/>
      </w:pPr>
      <w:r>
        <w:rPr>
          <w:rFonts w:ascii="Arial" w:cs="Arial" w:eastAsia="Arial" w:hAnsi="Arial"/>
          <w:b/>
          <w:bCs/>
          <w:color w:val="041B29"/>
          <w:sz w:val="36"/>
          <w:szCs w:val="36"/>
        </w:rPr>
        <w:t xml:space="preserve">Electrical panel and working space inspection checklist</w:t>
      </w:r>
    </w:p>
    <w:p>
      <w:pPr>
        <w:spacing w:after="120"/>
      </w:pPr>
      <w:r>
        <w:rPr>
          <w:rFonts w:ascii="Arial" w:cs="Arial" w:eastAsia="Arial" w:hAnsi="Arial"/>
          <w:color w:val="51626F"/>
          <w:sz w:val="20"/>
          <w:szCs w:val="20"/>
        </w:rPr>
        <w:t xml:space="preserve">A walk-up check of each panelboard, switchboard or motor control center against OSHA 1910.303: clear working space of the required depth, width and headroom, no storage, lighting, closed and undamaged enclosures, guarded live parts, and legible circuit markings.</w:t>
      </w:r>
    </w:p>
    <w:p>
      <w:pPr>
        <w:pBdr>
          <w:top w:val="single" w:color="D3DCE3" w:sz="4"/>
          <w:bottom w:val="single" w:color="D3DCE3" w:sz="4"/>
        </w:pBdr>
        <w:spacing w:after="60" w:before="60"/>
      </w:pPr>
      <w:r>
        <w:rPr>
          <w:rFonts w:ascii="Arial" w:cs="Arial" w:eastAsia="Arial" w:hAnsi="Arial"/>
          <w:color w:val="51626F"/>
          <w:sz w:val="16"/>
          <w:szCs w:val="16"/>
        </w:rPr>
        <w:t xml:space="preserve">How often: Monthly</w:t>
      </w:r>
      <w:r>
        <w:rPr>
          <w:rFonts w:ascii="Arial" w:cs="Arial" w:eastAsia="Arial" w:hAnsi="Arial"/>
          <w:color w:val="7A8B98"/>
          <w:sz w:val="16"/>
          <w:szCs w:val="16"/>
        </w:rPr>
        <w:t xml:space="preserve">   ·   </w:t>
      </w:r>
      <w:r>
        <w:rPr>
          <w:rFonts w:ascii="Arial" w:cs="Arial" w:eastAsia="Arial" w:hAnsi="Arial"/>
          <w:color w:val="51626F"/>
          <w:sz w:val="16"/>
          <w:szCs w:val="16"/>
        </w:rPr>
        <w:t xml:space="preserve">Who: Facility electrician or maintenance technician</w:t>
      </w:r>
      <w:r>
        <w:rPr>
          <w:rFonts w:ascii="Arial" w:cs="Arial" w:eastAsia="Arial" w:hAnsi="Arial"/>
          <w:color w:val="7A8B98"/>
          <w:sz w:val="16"/>
          <w:szCs w:val="16"/>
        </w:rPr>
        <w:t xml:space="preserve">   ·   </w:t>
      </w:r>
      <w:r>
        <w:rPr>
          <w:rFonts w:ascii="Arial" w:cs="Arial" w:eastAsia="Arial" w:hAnsi="Arial"/>
          <w:color w:val="51626F"/>
          <w:sz w:val="16"/>
          <w:szCs w:val="16"/>
        </w:rPr>
        <w:t xml:space="preserve">About 10 min</w:t>
      </w:r>
      <w:r>
        <w:rPr>
          <w:rFonts w:ascii="Arial" w:cs="Arial" w:eastAsia="Arial" w:hAnsi="Arial"/>
          <w:color w:val="7A8B98"/>
          <w:sz w:val="16"/>
          <w:szCs w:val="16"/>
        </w:rPr>
        <w:t xml:space="preserve">   ·   </w:t>
      </w:r>
      <w:r>
        <w:rPr>
          <w:rFonts w:ascii="Arial" w:cs="Arial" w:eastAsia="Arial" w:hAnsi="Arial"/>
          <w:color w:val="51626F"/>
          <w:sz w:val="16"/>
          <w:szCs w:val="16"/>
        </w:rPr>
        <w:t xml:space="preserve">22 items</w:t>
      </w:r>
    </w:p>
    <w:tbl>
      <w:tblPr>
        <w:tblW w:type="dxa" w:w="108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500"/>
        <w:gridCol w:w="3900"/>
        <w:gridCol w:w="1500"/>
        <w:gridCol w:w="3900"/>
      </w:tblGrid>
      <w:tr>
        <w:tc>
          <w:tcPr>
            <w:tcW w:type="dxa" w:w="1500"/>
            <w:tcMar>
              <w:top w:type="dxa" w:w="160"/>
              <w:left w:type="dxa" w:w="0"/>
              <w:bottom w:type="dxa" w:w="40"/>
              <w:right w:type="dxa" w:w="90"/>
            </w:tcMar>
          </w:tcPr>
          <w:p>
            <w:r>
              <w:rPr>
                <w:rFonts w:ascii="Arial" w:cs="Arial" w:eastAsia="Arial" w:hAnsi="Arial"/>
                <w:b/>
                <w:bCs/>
                <w:color w:val="51626F"/>
                <w:sz w:val="16"/>
                <w:szCs w:val="16"/>
              </w:rPr>
              <w:t xml:space="preserve">Site or area</w:t>
            </w:r>
          </w:p>
        </w:tc>
        <w:tc>
          <w:tcPr>
            <w:tcW w:type="dxa" w:w="3900"/>
            <w:tcBorders>
              <w:top w:val="none" w:color="FFFFFF" w:sz="0"/>
              <w:left w:val="none" w:color="FFFFFF" w:sz="0"/>
              <w:bottom w:val="single" w:color="7A8B98" w:sz="4"/>
              <w:right w:val="none" w:color="FFFFFF" w:sz="0"/>
            </w:tcBorders>
            <w:tcMar>
              <w:top w:type="dxa" w:w="160"/>
              <w:left w:type="dxa" w:w="90"/>
              <w:bottom w:type="dxa" w:w="40"/>
              <w:right w:type="dxa" w:w="240"/>
            </w:tcMar>
          </w:tcPr>
          <w:p>
            <w:r>
              <w:rPr>
                <w:rFonts w:ascii="Arial" w:cs="Arial" w:eastAsia="Arial" w:hAnsi="Arial"/>
                <w:color w:val="2C3E4C"/>
                <w:sz w:val="19"/>
                <w:szCs w:val="19"/>
              </w:rPr>
              <w:t xml:space="preserve"/>
            </w:r>
          </w:p>
        </w:tc>
        <w:tc>
          <w:tcPr>
            <w:tcW w:type="dxa" w:w="1500"/>
            <w:tcMar>
              <w:top w:type="dxa" w:w="160"/>
              <w:left w:type="dxa" w:w="0"/>
              <w:bottom w:type="dxa" w:w="40"/>
              <w:right w:type="dxa" w:w="90"/>
            </w:tcMar>
          </w:tcPr>
          <w:p>
            <w:r>
              <w:rPr>
                <w:rFonts w:ascii="Arial" w:cs="Arial" w:eastAsia="Arial" w:hAnsi="Arial"/>
                <w:b/>
                <w:bCs/>
                <w:color w:val="51626F"/>
                <w:sz w:val="16"/>
                <w:szCs w:val="16"/>
              </w:rPr>
              <w:t xml:space="preserve">Date and time</w:t>
            </w:r>
          </w:p>
        </w:tc>
        <w:tc>
          <w:tcPr>
            <w:tcW w:type="dxa" w:w="3900"/>
            <w:tcBorders>
              <w:top w:val="none" w:color="FFFFFF" w:sz="0"/>
              <w:left w:val="none" w:color="FFFFFF" w:sz="0"/>
              <w:bottom w:val="single" w:color="7A8B98" w:sz="4"/>
              <w:right w:val="none" w:color="FFFFFF" w:sz="0"/>
            </w:tcBorders>
            <w:tcMar>
              <w:top w:type="dxa" w:w="160"/>
              <w:left w:type="dxa" w:w="90"/>
              <w:bottom w:type="dxa" w:w="40"/>
              <w:right w:type="dxa" w:w="240"/>
            </w:tcMar>
          </w:tcPr>
          <w:p>
            <w:r>
              <w:rPr>
                <w:rFonts w:ascii="Arial" w:cs="Arial" w:eastAsia="Arial" w:hAnsi="Arial"/>
                <w:color w:val="2C3E4C"/>
                <w:sz w:val="19"/>
                <w:szCs w:val="19"/>
              </w:rPr>
              <w:t xml:space="preserve"/>
            </w:r>
          </w:p>
        </w:tc>
      </w:tr>
      <w:tr>
        <w:tc>
          <w:tcPr>
            <w:tcW w:type="dxa" w:w="1500"/>
            <w:tcMar>
              <w:top w:type="dxa" w:w="160"/>
              <w:left w:type="dxa" w:w="0"/>
              <w:bottom w:type="dxa" w:w="40"/>
              <w:right w:type="dxa" w:w="90"/>
            </w:tcMar>
          </w:tcPr>
          <w:p>
            <w:r>
              <w:rPr>
                <w:rFonts w:ascii="Arial" w:cs="Arial" w:eastAsia="Arial" w:hAnsi="Arial"/>
                <w:b/>
                <w:bCs/>
                <w:color w:val="51626F"/>
                <w:sz w:val="16"/>
                <w:szCs w:val="16"/>
              </w:rPr>
              <w:t xml:space="preserve">Asset or line</w:t>
            </w:r>
          </w:p>
        </w:tc>
        <w:tc>
          <w:tcPr>
            <w:tcW w:type="dxa" w:w="3900"/>
            <w:tcBorders>
              <w:top w:val="none" w:color="FFFFFF" w:sz="0"/>
              <w:left w:val="none" w:color="FFFFFF" w:sz="0"/>
              <w:bottom w:val="single" w:color="7A8B98" w:sz="4"/>
              <w:right w:val="none" w:color="FFFFFF" w:sz="0"/>
            </w:tcBorders>
            <w:tcMar>
              <w:top w:type="dxa" w:w="160"/>
              <w:left w:type="dxa" w:w="90"/>
              <w:bottom w:type="dxa" w:w="40"/>
              <w:right w:type="dxa" w:w="240"/>
            </w:tcMar>
          </w:tcPr>
          <w:p>
            <w:r>
              <w:rPr>
                <w:rFonts w:ascii="Arial" w:cs="Arial" w:eastAsia="Arial" w:hAnsi="Arial"/>
                <w:color w:val="2C3E4C"/>
                <w:sz w:val="19"/>
                <w:szCs w:val="19"/>
              </w:rPr>
              <w:t xml:space="preserve"/>
            </w:r>
          </w:p>
        </w:tc>
        <w:tc>
          <w:tcPr>
            <w:tcW w:type="dxa" w:w="1500"/>
            <w:tcMar>
              <w:top w:type="dxa" w:w="160"/>
              <w:left w:type="dxa" w:w="0"/>
              <w:bottom w:type="dxa" w:w="40"/>
              <w:right w:type="dxa" w:w="90"/>
            </w:tcMar>
          </w:tcPr>
          <w:p>
            <w:r>
              <w:rPr>
                <w:rFonts w:ascii="Arial" w:cs="Arial" w:eastAsia="Arial" w:hAnsi="Arial"/>
                <w:b/>
                <w:bCs/>
                <w:color w:val="51626F"/>
                <w:sz w:val="16"/>
                <w:szCs w:val="16"/>
              </w:rPr>
              <w:t xml:space="preserve">Completed by</w:t>
            </w:r>
          </w:p>
        </w:tc>
        <w:tc>
          <w:tcPr>
            <w:tcW w:type="dxa" w:w="3900"/>
            <w:tcBorders>
              <w:top w:val="none" w:color="FFFFFF" w:sz="0"/>
              <w:left w:val="none" w:color="FFFFFF" w:sz="0"/>
              <w:bottom w:val="single" w:color="7A8B98" w:sz="4"/>
              <w:right w:val="none" w:color="FFFFFF" w:sz="0"/>
            </w:tcBorders>
            <w:tcMar>
              <w:top w:type="dxa" w:w="160"/>
              <w:left w:type="dxa" w:w="90"/>
              <w:bottom w:type="dxa" w:w="40"/>
              <w:right w:type="dxa" w:w="240"/>
            </w:tcMar>
          </w:tcPr>
          <w:p>
            <w:r>
              <w:rPr>
                <w:rFonts w:ascii="Arial" w:cs="Arial" w:eastAsia="Arial" w:hAnsi="Arial"/>
                <w:color w:val="2C3E4C"/>
                <w:sz w:val="19"/>
                <w:szCs w:val="19"/>
              </w:rPr>
              <w:t xml:space="preserve"/>
            </w:r>
          </w:p>
        </w:tc>
      </w:tr>
    </w:tbl>
    <w:p>
      <w:pPr>
        <w:spacing w:after="60" w:before="280"/>
      </w:pPr>
      <w:r>
        <w:rPr>
          <w:rFonts w:ascii="Arial" w:cs="Arial" w:eastAsia="Arial" w:hAnsi="Arial"/>
          <w:b/>
          <w:bCs/>
          <w:color w:val="041B29"/>
          <w:sz w:val="19"/>
          <w:szCs w:val="19"/>
        </w:rPr>
        <w:t xml:space="preserve">Before you use it</w:t>
      </w:r>
    </w:p>
    <w:p>
      <w:pPr>
        <w:pStyle w:val="ListParagraph"/>
        <w:numPr>
          <w:ilvl w:val="0"/>
          <w:numId w:val="1"/>
        </w:numPr>
        <w:spacing w:after="40"/>
      </w:pPr>
      <w:r>
        <w:rPr>
          <w:rFonts w:ascii="Arial" w:cs="Arial" w:eastAsia="Arial" w:hAnsi="Arial"/>
          <w:color w:val="2C3E4C"/>
          <w:sz w:val="17"/>
          <w:szCs w:val="17"/>
        </w:rPr>
        <w:t xml:space="preserve">OSHA 29 CFR 1910.303(g) applies to electric equipment operating at 600 volts, nominal, or less to ground. Under (g)(1)(i), the working space in front of equipment likely to require examination, adjustment, servicing or maintenance while energized must be at least the depth in Table S-1, measured from exposed live parts or from the enclosure front: 0.9 m (3.0 ft) at 0–150 volts to ground, and 0.9 m, 1.0 m or 1.2 m (3.0, 3.5 or 4.0 ft) at 151–600 volts for conditions A, B and C. The width must be the width of the equipment or 762 mm (30 in.), whichever is greater, doors or hinged panels must open at least 90 degrees, and the space must be clear from the floor to the required headroom: 1.98 m (6.5 ft) for installations built on or after August 13, 2007, and 1.91 m (6.25 ft) before that.</w:t>
      </w:r>
    </w:p>
    <w:p>
      <w:pPr>
        <w:pStyle w:val="ListParagraph"/>
        <w:numPr>
          <w:ilvl w:val="0"/>
          <w:numId w:val="1"/>
        </w:numPr>
        <w:spacing w:after="40"/>
      </w:pPr>
      <w:r>
        <w:rPr>
          <w:rFonts w:ascii="Arial" w:cs="Arial" w:eastAsia="Arial" w:hAnsi="Arial"/>
          <w:color w:val="2C3E4C"/>
          <w:sz w:val="17"/>
          <w:szCs w:val="17"/>
        </w:rPr>
        <w:t xml:space="preserve">Working space may not be used for storage (1910.303(g)(1)(ii)), and at least one entrance of sufficient area must give access to it ((g)(1)(iii)). Illumination must be provided for working spaces about service equipment, switchboards, panelboards and motor control centers installed indoors, and in electric equipment rooms it may not be controlled by automatic means only ((g)(1)(v)). Switchboards, panelboards and motor control centers must be in dedicated spaces and protected from damage; indoors, the space equal to the width and depth of the equipment, from the floor to 1.83 m (6.0 ft) above it or to the structural ceiling, is dedicated to the electrical installation, and piping, ducts or equipment foreign to it may not be located there unless protected ((g)(1)(vii)).</w:t>
      </w:r>
    </w:p>
    <w:p>
      <w:pPr>
        <w:pStyle w:val="ListParagraph"/>
        <w:numPr>
          <w:ilvl w:val="0"/>
          <w:numId w:val="1"/>
        </w:numPr>
        <w:spacing w:after="40"/>
      </w:pPr>
      <w:r>
        <w:rPr>
          <w:rFonts w:ascii="Arial" w:cs="Arial" w:eastAsia="Arial" w:hAnsi="Arial"/>
          <w:color w:val="2C3E4C"/>
          <w:sz w:val="17"/>
          <w:szCs w:val="17"/>
        </w:rPr>
        <w:t xml:space="preserve">Live parts of equipment operating at 50 volts or more must be guarded against accidental contact by approved cabinets or enclosures, or by location in a room accessible only to qualified persons, by partitions or screens, by a balcony or platform, or by elevation of 2.44 m (8.0 ft) or more ((g)(2)(i)). Where equipment is likely to be exposed to physical damage, enclosures or guards must be strong enough to prevent it ((g)(2)(ii)), and entrances to rooms or guarded locations with exposed live parts must carry conspicuous warning signs forbidding unqualified persons to enter ((g)(2)(iii)).</w:t>
      </w:r>
    </w:p>
    <w:p>
      <w:pPr>
        <w:pStyle w:val="ListParagraph"/>
        <w:numPr>
          <w:ilvl w:val="0"/>
          <w:numId w:val="1"/>
        </w:numPr>
        <w:spacing w:after="40"/>
      </w:pPr>
      <w:r>
        <w:rPr>
          <w:rFonts w:ascii="Arial" w:cs="Arial" w:eastAsia="Arial" w:hAnsi="Arial"/>
          <w:color w:val="2C3E4C"/>
          <w:sz w:val="17"/>
          <w:szCs w:val="17"/>
        </w:rPr>
        <w:t xml:space="preserve">Marking: each service, feeder and branch circuit must be legibly marked at its disconnecting means or overcurrent device to indicate its purpose, unless the purpose is evident, with markings durable enough for the environment (1910.303(f)(2)–(3)); disconnecting means must be capable of being locked in the open position ((f)(4)); and equipment must carry the manufacturer’s name or trademark and its voltage, current, wattage or other ratings ((e)(1)). Under 1910.303(b)(1), equipment must be free from recognized hazards, judged by factors that include mechanical strength, insulation, and heating and arcing effects.</w:t>
      </w:r>
    </w:p>
    <w:p>
      <w:pPr>
        <w:pStyle w:val="ListParagraph"/>
        <w:numPr>
          <w:ilvl w:val="0"/>
          <w:numId w:val="1"/>
        </w:numPr>
        <w:spacing w:after="40"/>
      </w:pPr>
      <w:r>
        <w:rPr>
          <w:rFonts w:ascii="Arial" w:cs="Arial" w:eastAsia="Arial" w:hAnsi="Arial"/>
          <w:color w:val="2C3E4C"/>
          <w:sz w:val="17"/>
          <w:szCs w:val="17"/>
        </w:rPr>
        <w:t xml:space="preserve">OSHA sets no inspection interval for these conditions; they must hold at all times. Run the checklist once per panel, switchboard or motor control center. It covers what is visible with covers closed; opening a dead-front cover or working on energized parts is for qualified persons under your site’s electrical safety program.</w:t>
      </w:r>
    </w:p>
    <w:p>
      <w:pPr>
        <w:pStyle w:val="Heading2"/>
      </w:pPr>
      <w:r>
        <w:rPr>
          <w:rFonts w:ascii="Arial" w:cs="Arial" w:eastAsia="Arial" w:hAnsi="Arial"/>
          <w:b/>
          <w:bCs/>
          <w:color w:val="041B29"/>
          <w:sz w:val="22"/>
          <w:szCs w:val="22"/>
        </w:rPr>
        <w:t xml:space="preserve">Equipment</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4700"/>
        <w:gridCol w:w="3500"/>
        <w:gridCol w:w="20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47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ITEM</w:t>
            </w:r>
          </w:p>
        </w:tc>
        <w:tc>
          <w:tcPr>
            <w:tcW w:type="dxa" w:w="35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RESULT</w:t>
            </w:r>
          </w:p>
        </w:tc>
        <w:tc>
          <w:tcPr>
            <w:tcW w:type="dxa" w:w="20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NOTES</w:t>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Scan the tag on the panel, switchboard or motor control center</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Visited</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2</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Equipment identifier and location</w:t>
            </w:r>
          </w:p>
        </w:tc>
        <w:tc>
          <w:tcPr>
            <w:tcW w:type="dxa" w:w="5500"/>
            <w:gridSpan w:val="2"/>
            <w:tcMar>
              <w:top w:type="dxa" w:w="70"/>
              <w:left w:type="dxa" w:w="90"/>
              <w:bottom w:type="dxa" w:w="70"/>
              <w:right w:type="dxa" w:w="90"/>
            </w:tcMar>
          </w:tcPr>
          <w:p>
            <w:r>
              <w:rPr>
                <w:rFonts w:ascii="Arial" w:cs="Arial" w:eastAsia="Arial" w:hAnsi="Arial"/>
                <w:color w:val="2C3E4C"/>
                <w:sz w:val="19"/>
                <w:szCs w:val="19"/>
              </w:rPr>
              <w:t xml:space="preserve"/>
            </w:r>
          </w:p>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3</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Equipment type</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Panelboard</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Switchboard</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Motor control center</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Disconnect switch</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bl>
    <w:p>
      <w:pPr>
        <w:pStyle w:val="Heading2"/>
      </w:pPr>
      <w:r>
        <w:rPr>
          <w:rFonts w:ascii="Arial" w:cs="Arial" w:eastAsia="Arial" w:hAnsi="Arial"/>
          <w:b/>
          <w:bCs/>
          <w:color w:val="041B29"/>
          <w:sz w:val="22"/>
          <w:szCs w:val="22"/>
        </w:rPr>
        <w:t xml:space="preserve">Working space (1910.303(g)(1))</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4700"/>
        <w:gridCol w:w="3500"/>
        <w:gridCol w:w="20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47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ITEM</w:t>
            </w:r>
          </w:p>
        </w:tc>
        <w:tc>
          <w:tcPr>
            <w:tcW w:type="dxa" w:w="35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RESULT</w:t>
            </w:r>
          </w:p>
        </w:tc>
        <w:tc>
          <w:tcPr>
            <w:tcW w:type="dxa" w:w="20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NOTES</w:t>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4</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Clear depth in front of the equipment</w:t>
            </w:r>
          </w:p>
          <w:p>
            <w:pPr>
              <w:spacing w:before="30"/>
            </w:pPr>
            <w:r>
              <w:rPr>
                <w:rFonts w:ascii="Arial" w:cs="Arial" w:eastAsia="Arial" w:hAnsi="Arial"/>
                <w:color w:val="51626F"/>
                <w:sz w:val="16"/>
                <w:szCs w:val="16"/>
              </w:rPr>
              <w:t xml:space="preserve">Table S-1: at least 3 ft at 0–150 volts to ground; 3, 3.5 or 4 ft at 151–600 volts for conditions A, B and C. Measure from exposed live parts or from the enclosure front.</w:t>
            </w:r>
          </w:p>
        </w:tc>
        <w:tc>
          <w:tcPr>
            <w:tcW w:type="dxa" w:w="3500"/>
            <w:tcMar>
              <w:top w:type="dxa" w:w="70"/>
              <w:left w:type="dxa" w:w="90"/>
              <w:bottom w:type="dxa" w:w="70"/>
              <w:right w:type="dxa" w:w="90"/>
            </w:tcMar>
          </w:tcPr>
          <w:p>
            <w:r>
              <w:rPr>
                <w:rFonts w:ascii="Arial" w:cs="Arial" w:eastAsia="Arial" w:hAnsi="Arial"/>
                <w:color w:val="2C3E4C"/>
                <w:sz w:val="19"/>
                <w:szCs w:val="19"/>
              </w:rPr>
              <w:t xml:space="preserve">____________  </w:t>
            </w:r>
            <w:r>
              <w:rPr>
                <w:rFonts w:ascii="Arial" w:cs="Arial" w:eastAsia="Arial" w:hAnsi="Arial"/>
                <w:color w:val="51626F"/>
                <w:sz w:val="19"/>
                <w:szCs w:val="19"/>
              </w:rPr>
              <w:t xml:space="preserve">ft</w:t>
            </w:r>
          </w:p>
          <w:p>
            <w:pPr>
              <w:spacing w:before="60"/>
            </w:pPr>
            <w:r>
              <w:rPr>
                <w:rFonts w:ascii="Arial" w:cs="Arial" w:eastAsia="Arial" w:hAnsi="Arial"/>
                <w:color w:val="51626F"/>
                <w:sz w:val="16"/>
                <w:szCs w:val="16"/>
              </w:rPr>
              <w:t xml:space="preserve">Limit  ____________</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5</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Clear width</w:t>
            </w:r>
          </w:p>
          <w:p>
            <w:pPr>
              <w:spacing w:before="30"/>
            </w:pPr>
            <w:r>
              <w:rPr>
                <w:rFonts w:ascii="Arial" w:cs="Arial" w:eastAsia="Arial" w:hAnsi="Arial"/>
                <w:color w:val="51626F"/>
                <w:sz w:val="16"/>
                <w:szCs w:val="16"/>
              </w:rPr>
              <w:t xml:space="preserve">The width of the equipment or 30 in., whichever is greater. Doors and hinged panels must open at least 90 degrees.</w:t>
            </w:r>
          </w:p>
        </w:tc>
        <w:tc>
          <w:tcPr>
            <w:tcW w:type="dxa" w:w="3500"/>
            <w:tcMar>
              <w:top w:type="dxa" w:w="70"/>
              <w:left w:type="dxa" w:w="90"/>
              <w:bottom w:type="dxa" w:w="70"/>
              <w:right w:type="dxa" w:w="90"/>
            </w:tcMar>
          </w:tcPr>
          <w:p>
            <w:r>
              <w:rPr>
                <w:rFonts w:ascii="Arial" w:cs="Arial" w:eastAsia="Arial" w:hAnsi="Arial"/>
                <w:color w:val="2C3E4C"/>
                <w:sz w:val="19"/>
                <w:szCs w:val="19"/>
              </w:rPr>
              <w:t xml:space="preserve">____________  </w:t>
            </w:r>
            <w:r>
              <w:rPr>
                <w:rFonts w:ascii="Arial" w:cs="Arial" w:eastAsia="Arial" w:hAnsi="Arial"/>
                <w:color w:val="51626F"/>
                <w:sz w:val="19"/>
                <w:szCs w:val="19"/>
              </w:rPr>
              <w:t xml:space="preserve">in.</w:t>
            </w:r>
          </w:p>
          <w:p>
            <w:pPr>
              <w:spacing w:before="60"/>
            </w:pPr>
            <w:r>
              <w:rPr>
                <w:rFonts w:ascii="Arial" w:cs="Arial" w:eastAsia="Arial" w:hAnsi="Arial"/>
                <w:color w:val="51626F"/>
                <w:sz w:val="16"/>
                <w:szCs w:val="16"/>
              </w:rPr>
              <w:t xml:space="preserve">Limit  ____________</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6</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Space clear from the floor to the required headroom (6.5 ft; 6.25 ft for installations built before August 13, 2007)</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7</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No storage in the working space</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8</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Entrance to the working space unobstructed</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9</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Lighting works over the working space; in an electric equipment room it is not controlled by automatic means only</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10</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Dedicated space above the equipment free of foreign piping, ducts or equipment, or protected against leaks and condensation</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bl>
    <w:p>
      <w:pPr>
        <w:pStyle w:val="Heading2"/>
      </w:pPr>
      <w:r>
        <w:rPr>
          <w:rFonts w:ascii="Arial" w:cs="Arial" w:eastAsia="Arial" w:hAnsi="Arial"/>
          <w:b/>
          <w:bCs/>
          <w:color w:val="041B29"/>
          <w:sz w:val="22"/>
          <w:szCs w:val="22"/>
        </w:rPr>
        <w:t xml:space="preserve">Enclosure and guarding (1910.303(g)(2), (b)(1))</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4700"/>
        <w:gridCol w:w="3500"/>
        <w:gridCol w:w="20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47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ITEM</w:t>
            </w:r>
          </w:p>
        </w:tc>
        <w:tc>
          <w:tcPr>
            <w:tcW w:type="dxa" w:w="35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RESULT</w:t>
            </w:r>
          </w:p>
        </w:tc>
        <w:tc>
          <w:tcPr>
            <w:tcW w:type="dxa" w:w="20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NOTES</w:t>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11</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Cover and door closed and latched; no missing knockouts, filler plates or open slots exposing live parts</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12</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Enclosure undamaged; guards in place where the equipment is exposed to physical damage or vehicle traffic</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13</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No discoloration, burn marks, smell, moisture or corrosion at the enclosure</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14</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Room or location with exposed live parts accessible only to qualified persons, with a warning sign at the entrance</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15</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Photo of the equipment front and working space</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Photo taken</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bl>
    <w:p>
      <w:pPr>
        <w:pStyle w:val="Heading2"/>
      </w:pPr>
      <w:r>
        <w:rPr>
          <w:rFonts w:ascii="Arial" w:cs="Arial" w:eastAsia="Arial" w:hAnsi="Arial"/>
          <w:b/>
          <w:bCs/>
          <w:color w:val="041B29"/>
          <w:sz w:val="22"/>
          <w:szCs w:val="22"/>
        </w:rPr>
        <w:t xml:space="preserve">Marking (1910.303(e), (f))</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4700"/>
        <w:gridCol w:w="3500"/>
        <w:gridCol w:w="20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47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ITEM</w:t>
            </w:r>
          </w:p>
        </w:tc>
        <w:tc>
          <w:tcPr>
            <w:tcW w:type="dxa" w:w="35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RESULT</w:t>
            </w:r>
          </w:p>
        </w:tc>
        <w:tc>
          <w:tcPr>
            <w:tcW w:type="dxa" w:w="20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NOTES</w:t>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16</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Circuit directory or labels present and legible; each breaker or disconnect marked with its purpose</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17</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Manufacturer and ratings nameplate present and legible</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18</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Disconnecting means can be locked in the open position</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19</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Markings undamaged by the environment</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bl>
    <w:p>
      <w:pPr>
        <w:pStyle w:val="Heading2"/>
      </w:pPr>
      <w:r>
        <w:rPr>
          <w:rFonts w:ascii="Arial" w:cs="Arial" w:eastAsia="Arial" w:hAnsi="Arial"/>
          <w:b/>
          <w:bCs/>
          <w:color w:val="041B29"/>
          <w:sz w:val="22"/>
          <w:szCs w:val="22"/>
        </w:rPr>
        <w:t xml:space="preserve">Result</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4700"/>
        <w:gridCol w:w="3500"/>
        <w:gridCol w:w="20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47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ITEM</w:t>
            </w:r>
          </w:p>
        </w:tc>
        <w:tc>
          <w:tcPr>
            <w:tcW w:type="dxa" w:w="35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RESULT</w:t>
            </w:r>
          </w:p>
        </w:tc>
        <w:tc>
          <w:tcPr>
            <w:tcW w:type="dxa" w:w="20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NOTES</w:t>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20</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Result</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No defects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Defects found, work order raised</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21</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Defects and corrective action</w:t>
            </w:r>
          </w:p>
        </w:tc>
        <w:tc>
          <w:tcPr>
            <w:tcW w:type="dxa" w:w="5500"/>
            <w:gridSpan w:val="2"/>
            <w:tcMar>
              <w:top w:type="dxa" w:w="70"/>
              <w:left w:type="dxa" w:w="90"/>
              <w:bottom w:type="dxa" w:w="70"/>
              <w:right w:type="dxa" w:w="90"/>
            </w:tcMar>
          </w:tcPr>
          <w:p>
            <w:r>
              <w:rPr>
                <w:rFonts w:ascii="Arial" w:cs="Arial" w:eastAsia="Arial" w:hAnsi="Arial"/>
                <w:color w:val="2C3E4C"/>
                <w:sz w:val="19"/>
                <w:szCs w:val="19"/>
              </w:rPr>
              <w:t xml:space="preserve"/>
            </w:r>
          </w:p>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22</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Inspector</w:t>
            </w:r>
          </w:p>
        </w:tc>
        <w:tc>
          <w:tcPr>
            <w:tcW w:type="dxa" w:w="5500"/>
            <w:gridSpan w:val="2"/>
            <w:tcMar>
              <w:top w:type="dxa" w:w="70"/>
              <w:left w:type="dxa" w:w="90"/>
              <w:bottom w:type="dxa" w:w="70"/>
              <w:right w:type="dxa" w:w="90"/>
            </w:tcMar>
          </w:tcPr>
          <w:p>
            <w:pPr>
              <w:spacing w:after="60"/>
            </w:pPr>
            <w:r>
              <w:rPr>
                <w:rFonts w:ascii="Arial" w:cs="Arial" w:eastAsia="Arial" w:hAnsi="Arial"/>
                <w:color w:val="51626F"/>
                <w:sz w:val="16"/>
                <w:szCs w:val="16"/>
              </w:rPr>
              <w:t xml:space="preserve">Name  </w:t>
            </w:r>
            <w:r>
              <w:rPr>
                <w:rFonts w:ascii="Arial" w:cs="Arial" w:eastAsia="Arial" w:hAnsi="Arial"/>
                <w:color w:val="2C3E4C"/>
                <w:sz w:val="19"/>
                <w:szCs w:val="19"/>
              </w:rPr>
              <w:t xml:space="preserve">______________________________</w:t>
            </w:r>
          </w:p>
          <w:p>
            <w:pPr>
              <w:spacing w:after="60"/>
            </w:pPr>
            <w:r>
              <w:rPr>
                <w:rFonts w:ascii="Arial" w:cs="Arial" w:eastAsia="Arial" w:hAnsi="Arial"/>
                <w:color w:val="51626F"/>
                <w:sz w:val="16"/>
                <w:szCs w:val="16"/>
              </w:rPr>
              <w:t xml:space="preserve">Signature  </w:t>
            </w:r>
            <w:r>
              <w:rPr>
                <w:rFonts w:ascii="Arial" w:cs="Arial" w:eastAsia="Arial" w:hAnsi="Arial"/>
                <w:color w:val="2C3E4C"/>
                <w:sz w:val="19"/>
                <w:szCs w:val="19"/>
              </w:rPr>
              <w:t xml:space="preserve">______________________________</w:t>
            </w:r>
          </w:p>
          <w:p>
            <w:pPr>
              <w:spacing w:after="60"/>
            </w:pPr>
            <w:r>
              <w:rPr>
                <w:rFonts w:ascii="Arial" w:cs="Arial" w:eastAsia="Arial" w:hAnsi="Arial"/>
                <w:color w:val="51626F"/>
                <w:sz w:val="16"/>
                <w:szCs w:val="16"/>
              </w:rPr>
              <w:t xml:space="preserve">Date  </w:t>
            </w:r>
            <w:r>
              <w:rPr>
                <w:rFonts w:ascii="Arial" w:cs="Arial" w:eastAsia="Arial" w:hAnsi="Arial"/>
                <w:color w:val="2C3E4C"/>
                <w:sz w:val="19"/>
                <w:szCs w:val="19"/>
              </w:rPr>
              <w:t xml:space="preserve">______________________________</w:t>
            </w:r>
          </w:p>
        </w:tc>
      </w:tr>
    </w:tbl>
    <w:p>
      <w:pPr>
        <w:pStyle w:val="Heading2"/>
      </w:pPr>
      <w:r>
        <w:rPr>
          <w:rFonts w:ascii="Arial" w:cs="Arial" w:eastAsia="Arial" w:hAnsi="Arial"/>
          <w:b/>
          <w:bCs/>
          <w:color w:val="041B29"/>
          <w:sz w:val="22"/>
          <w:szCs w:val="22"/>
        </w:rPr>
        <w:t xml:space="preserve">Follow-up</w:t>
      </w:r>
    </w:p>
    <w:p>
      <w:pPr>
        <w:spacing w:after="80"/>
      </w:pPr>
      <w:r>
        <w:rPr>
          <w:rFonts w:ascii="Arial" w:cs="Arial" w:eastAsia="Arial" w:hAnsi="Arial"/>
          <w:color w:val="51626F"/>
          <w:sz w:val="16"/>
          <w:szCs w:val="16"/>
        </w:rPr>
        <w:t xml:space="preserve">For each failed check or reading out of limit: what was found, what was done, and the work order raised for it.</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3600"/>
        <w:gridCol w:w="3600"/>
        <w:gridCol w:w="1800"/>
        <w:gridCol w:w="12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3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WHAT WAS FOUND</w:t>
            </w:r>
          </w:p>
        </w:tc>
        <w:tc>
          <w:tcPr>
            <w:tcW w:type="dxa" w:w="3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ACTION OR WORK ORDER</w:t>
            </w:r>
          </w:p>
        </w:tc>
        <w:tc>
          <w:tcPr>
            <w:tcW w:type="dxa" w:w="18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OWNER</w:t>
            </w:r>
          </w:p>
        </w:tc>
        <w:tc>
          <w:tcPr>
            <w:tcW w:type="dxa" w:w="12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DUE</w:t>
            </w:r>
          </w:p>
        </w:tc>
      </w:tr>
      <w:tr>
        <w:trPr>
          <w:cantSplit/>
          <w:trHeight w:val="480" w:hRule="atLeast"/>
        </w:trPr>
        <w:tc>
          <w:tcPr>
            <w:tcW w:type="dxa" w:w="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1800"/>
            <w:tcMar>
              <w:top w:type="dxa" w:w="70"/>
              <w:left w:type="dxa" w:w="90"/>
              <w:bottom w:type="dxa" w:w="70"/>
              <w:right w:type="dxa" w:w="90"/>
            </w:tcMar>
          </w:tcPr>
          <w:p>
            <w:r>
              <w:rPr>
                <w:rFonts w:ascii="Arial" w:cs="Arial" w:eastAsia="Arial" w:hAnsi="Arial"/>
                <w:color w:val="2C3E4C"/>
                <w:sz w:val="19"/>
                <w:szCs w:val="19"/>
              </w:rPr>
              <w:t xml:space="preserve"/>
            </w:r>
          </w:p>
        </w:tc>
        <w:tc>
          <w:tcPr>
            <w:tcW w:type="dxa" w:w="1200"/>
            <w:tcMar>
              <w:top w:type="dxa" w:w="70"/>
              <w:left w:type="dxa" w:w="90"/>
              <w:bottom w:type="dxa" w:w="70"/>
              <w:right w:type="dxa" w:w="90"/>
            </w:tcMar>
          </w:tcPr>
          <w:p>
            <w:r>
              <w:rPr>
                <w:rFonts w:ascii="Arial" w:cs="Arial" w:eastAsia="Arial" w:hAnsi="Arial"/>
                <w:color w:val="2C3E4C"/>
                <w:sz w:val="19"/>
                <w:szCs w:val="19"/>
              </w:rPr>
              <w:t xml:space="preserve"/>
            </w:r>
          </w:p>
        </w:tc>
      </w:tr>
      <w:tr>
        <w:trPr>
          <w:cantSplit/>
          <w:trHeight w:val="480" w:hRule="atLeast"/>
        </w:trPr>
        <w:tc>
          <w:tcPr>
            <w:tcW w:type="dxa" w:w="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1800"/>
            <w:tcMar>
              <w:top w:type="dxa" w:w="70"/>
              <w:left w:type="dxa" w:w="90"/>
              <w:bottom w:type="dxa" w:w="70"/>
              <w:right w:type="dxa" w:w="90"/>
            </w:tcMar>
          </w:tcPr>
          <w:p>
            <w:r>
              <w:rPr>
                <w:rFonts w:ascii="Arial" w:cs="Arial" w:eastAsia="Arial" w:hAnsi="Arial"/>
                <w:color w:val="2C3E4C"/>
                <w:sz w:val="19"/>
                <w:szCs w:val="19"/>
              </w:rPr>
              <w:t xml:space="preserve"/>
            </w:r>
          </w:p>
        </w:tc>
        <w:tc>
          <w:tcPr>
            <w:tcW w:type="dxa" w:w="1200"/>
            <w:tcMar>
              <w:top w:type="dxa" w:w="70"/>
              <w:left w:type="dxa" w:w="90"/>
              <w:bottom w:type="dxa" w:w="70"/>
              <w:right w:type="dxa" w:w="90"/>
            </w:tcMar>
          </w:tcPr>
          <w:p>
            <w:r>
              <w:rPr>
                <w:rFonts w:ascii="Arial" w:cs="Arial" w:eastAsia="Arial" w:hAnsi="Arial"/>
                <w:color w:val="2C3E4C"/>
                <w:sz w:val="19"/>
                <w:szCs w:val="19"/>
              </w:rPr>
              <w:t xml:space="preserve"/>
            </w:r>
          </w:p>
        </w:tc>
      </w:tr>
      <w:tr>
        <w:trPr>
          <w:cantSplit/>
          <w:trHeight w:val="480" w:hRule="atLeast"/>
        </w:trPr>
        <w:tc>
          <w:tcPr>
            <w:tcW w:type="dxa" w:w="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1800"/>
            <w:tcMar>
              <w:top w:type="dxa" w:w="70"/>
              <w:left w:type="dxa" w:w="90"/>
              <w:bottom w:type="dxa" w:w="70"/>
              <w:right w:type="dxa" w:w="90"/>
            </w:tcMar>
          </w:tcPr>
          <w:p>
            <w:r>
              <w:rPr>
                <w:rFonts w:ascii="Arial" w:cs="Arial" w:eastAsia="Arial" w:hAnsi="Arial"/>
                <w:color w:val="2C3E4C"/>
                <w:sz w:val="19"/>
                <w:szCs w:val="19"/>
              </w:rPr>
              <w:t xml:space="preserve"/>
            </w:r>
          </w:p>
        </w:tc>
        <w:tc>
          <w:tcPr>
            <w:tcW w:type="dxa" w:w="1200"/>
            <w:tcMar>
              <w:top w:type="dxa" w:w="70"/>
              <w:left w:type="dxa" w:w="90"/>
              <w:bottom w:type="dxa" w:w="70"/>
              <w:right w:type="dxa" w:w="90"/>
            </w:tcMar>
          </w:tcPr>
          <w:p>
            <w:r>
              <w:rPr>
                <w:rFonts w:ascii="Arial" w:cs="Arial" w:eastAsia="Arial" w:hAnsi="Arial"/>
                <w:color w:val="2C3E4C"/>
                <w:sz w:val="19"/>
                <w:szCs w:val="19"/>
              </w:rPr>
              <w:t xml:space="preserve"/>
            </w:r>
          </w:p>
        </w:tc>
      </w:tr>
      <w:tr>
        <w:trPr>
          <w:cantSplit/>
          <w:trHeight w:val="480" w:hRule="atLeast"/>
        </w:trPr>
        <w:tc>
          <w:tcPr>
            <w:tcW w:type="dxa" w:w="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1800"/>
            <w:tcMar>
              <w:top w:type="dxa" w:w="70"/>
              <w:left w:type="dxa" w:w="90"/>
              <w:bottom w:type="dxa" w:w="70"/>
              <w:right w:type="dxa" w:w="90"/>
            </w:tcMar>
          </w:tcPr>
          <w:p>
            <w:r>
              <w:rPr>
                <w:rFonts w:ascii="Arial" w:cs="Arial" w:eastAsia="Arial" w:hAnsi="Arial"/>
                <w:color w:val="2C3E4C"/>
                <w:sz w:val="19"/>
                <w:szCs w:val="19"/>
              </w:rPr>
              <w:t xml:space="preserve"/>
            </w:r>
          </w:p>
        </w:tc>
        <w:tc>
          <w:tcPr>
            <w:tcW w:type="dxa" w:w="1200"/>
            <w:tcMar>
              <w:top w:type="dxa" w:w="70"/>
              <w:left w:type="dxa" w:w="90"/>
              <w:bottom w:type="dxa" w:w="70"/>
              <w:right w:type="dxa" w:w="90"/>
            </w:tcMar>
          </w:tcPr>
          <w:p>
            <w:r>
              <w:rPr>
                <w:rFonts w:ascii="Arial" w:cs="Arial" w:eastAsia="Arial" w:hAnsi="Arial"/>
                <w:color w:val="2C3E4C"/>
                <w:sz w:val="19"/>
                <w:szCs w:val="19"/>
              </w:rPr>
              <w:t xml:space="preserve"/>
            </w:r>
          </w:p>
        </w:tc>
      </w:tr>
    </w:tbl>
    <w:p>
      <w:pPr>
        <w:pStyle w:val="Heading2"/>
      </w:pPr>
      <w:r>
        <w:rPr>
          <w:rFonts w:ascii="Arial" w:cs="Arial" w:eastAsia="Arial" w:hAnsi="Arial"/>
          <w:b/>
          <w:bCs/>
          <w:color w:val="041B29"/>
          <w:sz w:val="22"/>
          <w:szCs w:val="22"/>
        </w:rPr>
        <w:t xml:space="preserve">References</w:t>
      </w:r>
    </w:p>
    <w:p>
      <w:pPr>
        <w:pStyle w:val="ListParagraph"/>
        <w:numPr>
          <w:ilvl w:val="0"/>
          <w:numId w:val="1"/>
        </w:numPr>
      </w:pPr>
      <w:hyperlink w:history="1" r:id="rIdwksdjcrug4hekrtepwni4">
        <w:r>
          <w:rPr>
            <w:rFonts w:ascii="Arial" w:cs="Arial" w:eastAsia="Arial" w:hAnsi="Arial"/>
            <w:color w:val="0B63CE"/>
            <w:sz w:val="19"/>
            <w:szCs w:val="19"/>
            <w:u w:val="single"/>
          </w:rPr>
          <w:t xml:space="preserve">OSHA 29 CFR 1910.303, electrical: general requirements</w:t>
        </w:r>
      </w:hyperlink>
    </w:p>
    <w:p>
      <w:pPr>
        <w:pBdr>
          <w:top w:val="single" w:color="D3DCE3" w:sz="4" w:space="8"/>
        </w:pBdr>
        <w:spacing w:before="360"/>
      </w:pPr>
      <w:r>
        <w:rPr>
          <w:rFonts w:ascii="Arial" w:cs="Arial" w:eastAsia="Arial" w:hAnsi="Arial"/>
          <w:color w:val="51626F"/>
          <w:sz w:val="16"/>
          <w:szCs w:val="16"/>
        </w:rPr>
        <w:t xml:space="preserve">Free to use and adapt. To run it on mobile, with checkpoint scans, readings checked against their limits as they are entered, and photos and signatures attached to the check, see </w:t>
      </w:r>
      <w:hyperlink w:history="1" r:id="rId1p1oc49ssmwvwnpbmnatp">
        <w:r>
          <w:rPr>
            <w:rFonts w:ascii="Arial" w:cs="Arial" w:eastAsia="Arial" w:hAnsi="Arial"/>
            <w:color w:val="0B63CE"/>
            <w:sz w:val="16"/>
            <w:szCs w:val="16"/>
            <w:u w:val="single"/>
          </w:rPr>
          <w:t xml:space="preserve">vardian.io/templates/electrical-panel-working-space-inspection</w:t>
        </w:r>
      </w:hyperlink>
      <w:r>
        <w:rPr>
          <w:rFonts w:ascii="Arial" w:cs="Arial" w:eastAsia="Arial" w:hAnsi="Arial"/>
          <w:color w:val="51626F"/>
          <w:sz w:val="16"/>
          <w:szCs w:val="16"/>
        </w:rPr>
        <w:t xml:space="preserve">.</w:t>
      </w:r>
    </w:p>
    <w:sectPr>
      <w:headerReference w:type="default" r:id="rId6"/>
      <w:footerReference w:type="default" r:id="rId7"/>
      <w:pgSz w:w="12240" w:h="15840" w:orient="portrait"/>
      <w:pgMar w:top="1150" w:right="720" w:bottom="1000" w:left="720" w:header="450" w:footer="45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800"/>
      </w:tabs>
    </w:pPr>
    <w:r>
      <w:rPr>
        <w:rFonts w:ascii="Arial" w:cs="Arial" w:eastAsia="Arial" w:hAnsi="Arial"/>
        <w:color w:val="51626F"/>
        <w:sz w:val="14"/>
        <w:szCs w:val="14"/>
      </w:rPr>
      <w:t xml:space="preserve">Electrical panel and working space inspection checklist · Free template from Vardian · vardian.io/templates/electrical-panel-working-space-inspection</w:t>
    </w:r>
    <w:r>
      <w:rPr>
        <w:rFonts w:ascii="Arial" w:cs="Arial" w:eastAsia="Arial" w:hAnsi="Arial"/>
        <w:color w:val="51626F"/>
        <w:sz w:val="14"/>
        <w:szCs w:val="14"/>
      </w:rPr>
      <w:t xml:space="preserve">	Page </w:t>
    </w:r>
    <w:r>
      <w:rPr>
        <w:rFonts w:ascii="Arial" w:cs="Arial" w:eastAsia="Arial" w:hAnsi="Arial"/>
        <w:color w:val="51626F"/>
        <w:sz w:val="14"/>
        <w:szCs w:val="14"/>
      </w:rPr>
      <w:fldChar w:fldCharType="begin"/>
    </w:r>
    <w:r>
      <w:rPr>
        <w:rFonts w:ascii="Arial" w:cs="Arial" w:eastAsia="Arial" w:hAnsi="Arial"/>
        <w:color w:val="51626F"/>
        <w:sz w:val="14"/>
        <w:szCs w:val="14"/>
      </w:rPr>
      <w:instrText xml:space="preserve">PAGE</w:instrText>
    </w:r>
    <w:r>
      <w:rPr>
        <w:rFonts w:ascii="Arial" w:cs="Arial" w:eastAsia="Arial" w:hAnsi="Arial"/>
        <w:color w:val="51626F"/>
        <w:sz w:val="14"/>
        <w:szCs w:val="14"/>
      </w:rPr>
      <w:fldChar w:fldCharType="separate"/>
    </w:r>
    <w:r>
      <w:rPr>
        <w:rFonts w:ascii="Arial" w:cs="Arial" w:eastAsia="Arial" w:hAnsi="Arial"/>
        <w:color w:val="51626F"/>
        <w:sz w:val="14"/>
        <w:szCs w:val="14"/>
      </w:rPr>
      <w:fldChar w:fldCharType="end"/>
    </w:r>
    <w:r>
      <w:rPr>
        <w:rFonts w:ascii="Arial" w:cs="Arial" w:eastAsia="Arial" w:hAnsi="Arial"/>
        <w:color w:val="51626F"/>
        <w:sz w:val="14"/>
        <w:szCs w:val="14"/>
      </w:rPr>
      <w:t xml:space="preserve"> of </w:t>
    </w:r>
    <w:r>
      <w:rPr>
        <w:rFonts w:ascii="Arial" w:cs="Arial" w:eastAsia="Arial" w:hAnsi="Arial"/>
        <w:color w:val="51626F"/>
        <w:sz w:val="14"/>
        <w:szCs w:val="14"/>
      </w:rPr>
      <w:fldChar w:fldCharType="begin"/>
    </w:r>
    <w:r>
      <w:rPr>
        <w:rFonts w:ascii="Arial" w:cs="Arial" w:eastAsia="Arial" w:hAnsi="Arial"/>
        <w:color w:val="51626F"/>
        <w:sz w:val="14"/>
        <w:szCs w:val="14"/>
      </w:rPr>
      <w:instrText xml:space="preserve">NUMPAGES</w:instrText>
    </w:r>
    <w:r>
      <w:rPr>
        <w:rFonts w:ascii="Arial" w:cs="Arial" w:eastAsia="Arial" w:hAnsi="Arial"/>
        <w:color w:val="51626F"/>
        <w:sz w:val="14"/>
        <w:szCs w:val="14"/>
      </w:rPr>
      <w:fldChar w:fldCharType="separate"/>
    </w:r>
    <w:r>
      <w:rPr>
        <w:rFonts w:ascii="Arial" w:cs="Arial" w:eastAsia="Arial" w:hAnsi="Arial"/>
        <w:color w:val="51626F"/>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41B29" w:sz="8" w:space="6"/>
      </w:pBdr>
      <w:tabs>
        <w:tab w:val="right" w:pos="10800"/>
      </w:tabs>
    </w:pPr>
    <w:r>
      <w:drawing>
        <wp:inline distT="0" distB="0" distL="0" distR="0">
          <wp:extent cx="800100" cy="228600"/>
          <wp:effectExtent t="0" r="0" b="0" l="0"/>
          <wp:docPr id="1" name="Vardian" descr="Vardian logo" title="Vardi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800100" cy="228600"/>
                  </a:xfrm>
                  <a:prstGeom prst="rect">
                    <a:avLst/>
                  </a:prstGeom>
                </pic:spPr>
              </pic:pic>
            </a:graphicData>
          </a:graphic>
        </wp:inline>
      </w:drawing>
    </w:r>
    <w:r>
      <w:rPr>
        <w:rFonts w:ascii="Arial" w:cs="Arial" w:eastAsia="Arial" w:hAnsi="Arial"/>
        <w:color w:val="51626F"/>
        <w:sz w:val="15"/>
        <w:szCs w:val="15"/>
      </w:rPr>
      <w:t xml:space="preserve">	Free checklist template · </w:t>
    </w:r>
    <w:r>
      <w:rPr>
        <w:rFonts w:ascii="Arial" w:cs="Arial" w:eastAsia="Arial" w:hAnsi="Arial"/>
        <w:color w:val="51626F"/>
        <w:sz w:val="15"/>
        <w:szCs w:val="15"/>
      </w:rPr>
      <w:t xml:space="preserve">vardian.io/templates/electrical-panel-working-space-inspection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C3E4C"/>
        <w:sz w:val="19"/>
        <w:szCs w:val="19"/>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190"/>
    </w:pPr>
  </w:style>
  <w:style w:type="paragraph" w:styleId="TOC3">
    <w:name w:val="toc 3"/>
    <w:basedOn w:val="Normal"/>
    <w:next w:val="Normal"/>
    <w:uiPriority w:val="39"/>
    <w:semiHidden/>
    <w:unhideWhenUsed/>
    <w:pPr>
      <w:spacing w:after="100"/>
      <w:ind w:left="380"/>
    </w:pPr>
  </w:style>
  <w:style w:type="paragraph" w:styleId="TOC4">
    <w:name w:val="toc 4"/>
    <w:basedOn w:val="Normal"/>
    <w:next w:val="Normal"/>
    <w:uiPriority w:val="39"/>
    <w:semiHidden/>
    <w:unhideWhenUsed/>
    <w:pPr>
      <w:spacing w:after="100"/>
      <w:ind w:left="570"/>
    </w:pPr>
  </w:style>
  <w:style w:type="paragraph" w:styleId="TOC5">
    <w:name w:val="toc 5"/>
    <w:basedOn w:val="Normal"/>
    <w:next w:val="Normal"/>
    <w:uiPriority w:val="39"/>
    <w:semiHidden/>
    <w:unhideWhenUsed/>
    <w:pPr>
      <w:spacing w:after="100"/>
      <w:ind w:left="760"/>
    </w:pPr>
  </w:style>
  <w:style w:type="paragraph" w:styleId="TOC6">
    <w:name w:val="toc 6"/>
    <w:basedOn w:val="Normal"/>
    <w:next w:val="Normal"/>
    <w:uiPriority w:val="39"/>
    <w:semiHidden/>
    <w:unhideWhenUsed/>
    <w:pPr>
      <w:spacing w:after="100"/>
      <w:ind w:left="950"/>
    </w:pPr>
  </w:style>
  <w:style w:type="paragraph" w:styleId="TOC7">
    <w:name w:val="toc 7"/>
    <w:basedOn w:val="Normal"/>
    <w:next w:val="Normal"/>
    <w:uiPriority w:val="39"/>
    <w:semiHidden/>
    <w:unhideWhenUsed/>
    <w:pPr>
      <w:spacing w:after="100"/>
      <w:ind w:left="1140"/>
    </w:pPr>
  </w:style>
  <w:style w:type="paragraph" w:styleId="TOC8">
    <w:name w:val="toc 8"/>
    <w:basedOn w:val="Normal"/>
    <w:next w:val="Normal"/>
    <w:uiPriority w:val="39"/>
    <w:semiHidden/>
    <w:unhideWhenUsed/>
    <w:pPr>
      <w:spacing w:after="100"/>
      <w:ind w:left="1330"/>
    </w:pPr>
  </w:style>
  <w:style w:type="paragraph" w:styleId="TOC9">
    <w:name w:val="toc 9"/>
    <w:basedOn w:val="Normal"/>
    <w:next w:val="Normal"/>
    <w:uiPriority w:val="39"/>
    <w:semiHidden/>
    <w:unhideWhenUsed/>
    <w:pPr>
      <w:spacing w:after="100"/>
      <w:ind w:left="152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spacing w:after="80" w:before="60"/>
    </w:pPr>
    <w:rPr>
      <w:rFonts w:ascii="Arial" w:cs="Arial" w:eastAsia="Arial" w:hAnsi="Arial"/>
      <w:b/>
      <w:bCs/>
      <w:color w:val="041B29"/>
      <w:sz w:val="36"/>
      <w:szCs w:val="36"/>
    </w:rPr>
  </w:style>
  <w:style w:type="paragraph" w:styleId="Heading2">
    <w:name w:val="Heading 2"/>
    <w:basedOn w:val="Normal"/>
    <w:next w:val="Normal"/>
    <w:qFormat/>
    <w:pPr>
      <w:keepNext/>
      <w:spacing w:after="100" w:before="300"/>
    </w:pPr>
    <w:rPr>
      <w:rFonts w:ascii="Arial" w:cs="Arial" w:eastAsia="Arial" w:hAnsi="Arial"/>
      <w:b/>
      <w:bCs/>
      <w:color w:val="041B29"/>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wksdjcrug4hekrtepwni4" Type="http://schemas.openxmlformats.org/officeDocument/2006/relationships/hyperlink" Target="https://www.osha.gov/laws-regs/regulations/standardnumber/1910/1910.303" TargetMode="External"/><Relationship Id="rId1p1oc49ssmwvwnpbmnatp" Type="http://schemas.openxmlformats.org/officeDocument/2006/relationships/hyperlink" Target="https://vardian.io/templates/electrical-panel-working-space-inspection"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panel and working space inspection checklist</dc:title>
  <dc:creator>Vardian</dc:creator>
  <dc:description>A walk-up check of each panelboard, switchboard or motor control center against OSHA 1910.303: clear working space of the required depth, width and headroom, no storage, lighting, closed and undamaged enclosures, guarded live parts, and legible circuit markings.</dc:description>
  <cp:lastModifiedBy>Un-named</cp:lastModifiedBy>
  <cp:revision>1</cp:revision>
  <dcterms:created xsi:type="dcterms:W3CDTF">2026-11-06T17:43:23.379Z</dcterms:created>
  <dcterms:modified xsi:type="dcterms:W3CDTF">2026-11-06T17:43:23.379Z</dcterms:modified>
</cp:coreProperties>
</file>

<file path=docProps/custom.xml><?xml version="1.0" encoding="utf-8"?>
<Properties xmlns="http://schemas.openxmlformats.org/officeDocument/2006/custom-properties" xmlns:vt="http://schemas.openxmlformats.org/officeDocument/2006/docPropsVTypes"/>
</file>