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Battery charging area inspection checklist</w:t>
      </w:r>
    </w:p>
    <w:p>
      <w:pPr>
        <w:spacing w:after="120"/>
      </w:pPr>
      <w:r>
        <w:rPr>
          <w:rFonts w:ascii="Arial" w:cs="Arial" w:eastAsia="Arial" w:hAnsi="Arial"/>
          <w:color w:val="51626F"/>
          <w:sz w:val="20"/>
          <w:szCs w:val="20"/>
        </w:rPr>
        <w:t xml:space="preserve">A check of the forklift battery charging area against OSHA 1910.178(g): a designated area, facilities for flushing and neutralizing spilled electrolyte, fire protection, ventilation, chargers protected from trucks, battery handling equipment, and no smoking, flames or sparks.</w:t>
      </w:r>
    </w:p>
    <w:p>
      <w:pPr>
        <w:pBdr>
          <w:top w:val="single" w:color="D3DCE3" w:sz="4"/>
          <w:bottom w:val="single" w:color="D3DCE3" w:sz="4"/>
        </w:pBdr>
        <w:spacing w:after="60" w:before="60"/>
      </w:pPr>
      <w:r>
        <w:rPr>
          <w:rFonts w:ascii="Arial" w:cs="Arial" w:eastAsia="Arial" w:hAnsi="Arial"/>
          <w:color w:val="51626F"/>
          <w:sz w:val="16"/>
          <w:szCs w:val="16"/>
        </w:rPr>
        <w:t xml:space="preserve">How often: Weekly</w:t>
      </w:r>
      <w:r>
        <w:rPr>
          <w:rFonts w:ascii="Arial" w:cs="Arial" w:eastAsia="Arial" w:hAnsi="Arial"/>
          <w:color w:val="7A8B98"/>
          <w:sz w:val="16"/>
          <w:szCs w:val="16"/>
        </w:rPr>
        <w:t xml:space="preserve">   ·   </w:t>
      </w:r>
      <w:r>
        <w:rPr>
          <w:rFonts w:ascii="Arial" w:cs="Arial" w:eastAsia="Arial" w:hAnsi="Arial"/>
          <w:color w:val="51626F"/>
          <w:sz w:val="16"/>
          <w:szCs w:val="16"/>
        </w:rPr>
        <w:t xml:space="preserve">Who: Warehouse supervisor or maintenance technician</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22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1910.178(g) covers changing and charging storage batteries on powered industrial trucks. Charging installations must be located in areas designated for that purpose ((g)(1)), and facilities must be provided for flushing and neutralizing spilled electrolyte, for fire protection, for protecting charging apparatus from damage by trucks, and for adequate ventilation for dispersal of fumes from gassing batteries ((g)(2)). Where eyes or body may be exposed to injurious corrosive materials, 1910.151(c) separately requires suitable facilities for quick drenching or flushing within the work area for immediate emergency use.</w:t>
      </w:r>
    </w:p>
    <w:p>
      <w:pPr>
        <w:pStyle w:val="ListParagraph"/>
        <w:numPr>
          <w:ilvl w:val="0"/>
          <w:numId w:val="1"/>
        </w:numPr>
        <w:spacing w:after="40"/>
      </w:pPr>
      <w:r>
        <w:rPr>
          <w:rFonts w:ascii="Arial" w:cs="Arial" w:eastAsia="Arial" w:hAnsi="Arial"/>
          <w:color w:val="2C3E4C"/>
          <w:sz w:val="17"/>
          <w:szCs w:val="17"/>
        </w:rPr>
        <w:t xml:space="preserve">A conveyor, overhead hoist or equivalent material handling equipment must be provided for handling batteries ((g)(4)), and a carboy tilter or siphon for handling electrolyte ((g)(6)). When charging batteries, acid is poured into water; water is not poured into acid ((g)(7)). Trucks must be properly positioned with the brake applied before batteries are changed or charged ((g)(8)), vent caps must be functioning and the battery or compartment cover open to dissipate heat ((g)(9)), and reinstalled batteries must be properly positioned and secured in the truck ((g)(5)).</w:t>
      </w:r>
    </w:p>
    <w:p>
      <w:pPr>
        <w:pStyle w:val="ListParagraph"/>
        <w:numPr>
          <w:ilvl w:val="0"/>
          <w:numId w:val="1"/>
        </w:numPr>
        <w:spacing w:after="40"/>
      </w:pPr>
      <w:r>
        <w:rPr>
          <w:rFonts w:ascii="Arial" w:cs="Arial" w:eastAsia="Arial" w:hAnsi="Arial"/>
          <w:color w:val="2C3E4C"/>
          <w:sz w:val="17"/>
          <w:szCs w:val="17"/>
        </w:rPr>
        <w:t xml:space="preserve">Smoking is prohibited in the charging area ((g)(10)), precautions must be taken to prevent open flames, sparks or electric arcs ((g)(11)), and tools and other metallic objects are kept away from the top of uncovered batteries ((g)(12)).</w:t>
      </w:r>
    </w:p>
    <w:p>
      <w:pPr>
        <w:pStyle w:val="ListParagraph"/>
        <w:numPr>
          <w:ilvl w:val="0"/>
          <w:numId w:val="1"/>
        </w:numPr>
        <w:spacing w:after="40"/>
      </w:pPr>
      <w:r>
        <w:rPr>
          <w:rFonts w:ascii="Arial" w:cs="Arial" w:eastAsia="Arial" w:hAnsi="Arial"/>
          <w:color w:val="2C3E4C"/>
          <w:sz w:val="17"/>
          <w:szCs w:val="17"/>
        </w:rPr>
        <w:t xml:space="preserve">The standard sets no inspection interval for the area; the conditions must be maintained. Weekly suits most sites. Add the charger manufacturer’s own checks, and if your eyewash station is here, its activation from the eyewash checklist. Lithium-ion chargers involve no electrolyte handling, so drop those items for them.</w:t>
      </w:r>
    </w:p>
    <w:p>
      <w:pPr>
        <w:pStyle w:val="Heading2"/>
      </w:pPr>
      <w:r>
        <w:rPr>
          <w:rFonts w:ascii="Arial" w:cs="Arial" w:eastAsia="Arial" w:hAnsi="Arial"/>
          <w:b/>
          <w:bCs/>
          <w:color w:val="041B29"/>
          <w:sz w:val="22"/>
          <w:szCs w:val="22"/>
        </w:rPr>
        <w:t xml:space="preserve">Area</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tag at the charging area</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Area identifier and number of chargers</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Designated area and facilities (1910.178(g)(1)–(2))</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Charging takes place in the designated area only; the area is marked and kept clear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Facilities for flushing and neutralizing spilled electrolyte in place and stocked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Eyewash or drench facility in the work area where electrolyte exposure is possible (1910.151(c))</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extinguishing equipment at the area, accessible and inspected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Chargers protected from damage by trucks, by barriers, bollards or their position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Ventilation adequate to disperse fumes from gassing batteries; fans running or openings clear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Handling equipment (1910.178(g)(4), (g)(6))</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Conveyor, overhead hoist or equivalent battery handling equipment in place and in working order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Carboy tilter or siphon available for handling electrolyte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Practices observed (1910.178(g)(5), (g)(7)–(12))</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Trucks positioned with the brake applied before batteries are changed or charged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Vent caps functioning; battery or compartment covers open while charging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Reinstalled batteries positioned and secured in the truck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When topping up, acid is poured into water, never water into acid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smoking in the area; signage posted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open flames, sparks or electric arcs; no tools or metallic objects on top of uncovered batteries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Condition</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Charger cables, connectors and plugs undamaged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electrolyte spills or corrosion on the floor, racks or chargers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the charging area</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No defects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Defects found, work order raised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Defects and corrective action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moyhohg0d9frsnqany0yz">
        <w:r>
          <w:rPr>
            <w:rFonts w:ascii="Arial" w:cs="Arial" w:eastAsia="Arial" w:hAnsi="Arial"/>
            <w:color w:val="0B63CE"/>
            <w:sz w:val="19"/>
            <w:szCs w:val="19"/>
            <w:u w:val="single"/>
          </w:rPr>
          <w:t xml:space="preserve">OSHA 29 CFR 1910.178, powered industrial trucks</w:t>
        </w:r>
      </w:hyperlink>
    </w:p>
    <w:p>
      <w:pPr>
        <w:pStyle w:val="ListParagraph"/>
        <w:numPr>
          <w:ilvl w:val="0"/>
          <w:numId w:val="1"/>
        </w:numPr>
      </w:pPr>
      <w:hyperlink w:history="1" r:id="rId6ydocqj5xy2ov8jsm_aad">
        <w:r>
          <w:rPr>
            <w:rFonts w:ascii="Arial" w:cs="Arial" w:eastAsia="Arial" w:hAnsi="Arial"/>
            <w:color w:val="0B63CE"/>
            <w:sz w:val="19"/>
            <w:szCs w:val="19"/>
            <w:u w:val="single"/>
          </w:rPr>
          <w:t xml:space="preserve">OSHA 29 CFR 1910.151, medical services and first aid</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p8hiu0bzoidsosnd_kdwz">
        <w:r>
          <w:rPr>
            <w:rFonts w:ascii="Arial" w:cs="Arial" w:eastAsia="Arial" w:hAnsi="Arial"/>
            <w:color w:val="0B63CE"/>
            <w:sz w:val="16"/>
            <w:szCs w:val="16"/>
            <w:u w:val="single"/>
          </w:rPr>
          <w:t xml:space="preserve">vardian.io/templates/battery-charging-area-inspection</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Battery charging area inspection checklist · Free template from Vardian · vardian.io/templates/battery-charging-area-inspection</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2"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vardian.io/templates/battery-charging-area-inspection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moyhohg0d9frsnqany0yz" Type="http://schemas.openxmlformats.org/officeDocument/2006/relationships/hyperlink" Target="https://www.osha.gov/laws-regs/regulations/standardnumber/1910/1910.178" TargetMode="External"/><Relationship Id="rId6ydocqj5xy2ov8jsm_aad" Type="http://schemas.openxmlformats.org/officeDocument/2006/relationships/hyperlink" Target="https://www.osha.gov/laws-regs/regulations/standardnumber/1910/1910.151" TargetMode="External"/><Relationship Id="rIdp8hiu0bzoidsosnd_kdwz" Type="http://schemas.openxmlformats.org/officeDocument/2006/relationships/hyperlink" Target="https://vardian.io/templates/battery-charging-area-inspection"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Battery charging area inspection checklist</dc:title>
  <dc:creator>Vardian</dc:creator>
  <dc:description>A check of the forklift battery charging area against OSHA 1910.178(g): a designated area, facilities for flushing and neutralizing spilled electrolyte, fire protection, ventilation, chargers protected from trucks, battery handling equipment, and no smoking, flames or sparks.</dc:description>
  <cp:lastModifiedBy>Un-named</cp:lastModifiedBy>
  <cp:revision>1</cp:revision>
  <dcterms:created xsi:type="dcterms:W3CDTF">2026-11-06T17:43:24.432Z</dcterms:created>
  <dcterms:modified xsi:type="dcterms:W3CDTF">2026-11-06T17:43:24.432Z</dcterms:modified>
</cp:coreProperties>
</file>

<file path=docProps/custom.xml><?xml version="1.0" encoding="utf-8"?>
<Properties xmlns="http://schemas.openxmlformats.org/officeDocument/2006/custom-properties" xmlns:vt="http://schemas.openxmlformats.org/officeDocument/2006/docPropsVTypes"/>
</file>